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pPr>
      <w:bookmarkStart w:id="0" w:name="_Hlk19781073"/>
      <w:r>
        <w:t>3GPP T</w:t>
      </w:r>
      <w:bookmarkStart w:id="1" w:name="_Ref452454252"/>
      <w:bookmarkEnd w:id="1"/>
      <w:r>
        <w:t>SG-</w:t>
      </w:r>
      <w:r>
        <w:rPr>
          <w:szCs w:val="24"/>
        </w:rPr>
        <w:t>RAN WG3 Meeting #122</w:t>
      </w:r>
      <w:r>
        <w:tab/>
      </w:r>
      <w:r>
        <w:rPr>
          <w:lang w:eastAsia="ja-JP"/>
        </w:rPr>
        <w:t>R3-</w:t>
      </w:r>
      <w:r>
        <w:rPr>
          <w:rFonts w:hint="eastAsia"/>
          <w:lang w:eastAsia="ja-JP"/>
        </w:rPr>
        <w:t>237658</w:t>
      </w:r>
      <w:bookmarkStart w:id="3" w:name="_GoBack"/>
      <w:bookmarkEnd w:id="3"/>
    </w:p>
    <w:p>
      <w:pPr>
        <w:pStyle w:val="118"/>
      </w:pPr>
      <w:bookmarkStart w:id="2" w:name="_Hlk19781143"/>
      <w:r>
        <w:t>Chicago, USA,13th – 17th November 2023</w:t>
      </w:r>
    </w:p>
    <w:bookmarkEnd w:id="0"/>
    <w:bookmarkEnd w:id="2"/>
    <w:p>
      <w:pPr>
        <w:pStyle w:val="34"/>
        <w:rPr>
          <w:rFonts w:cs="Arial"/>
          <w:bCs/>
          <w:sz w:val="24"/>
          <w:lang w:eastAsia="ja-JP"/>
        </w:rPr>
      </w:pPr>
    </w:p>
    <w:p>
      <w:pPr>
        <w:pStyle w:val="34"/>
        <w:rPr>
          <w:rFonts w:cs="Arial"/>
          <w:bCs/>
          <w:sz w:val="24"/>
          <w:lang w:eastAsia="ja-JP"/>
        </w:rPr>
      </w:pPr>
    </w:p>
    <w:p>
      <w:pPr>
        <w:pStyle w:val="89"/>
        <w:rPr>
          <w:rFonts w:hint="eastAsia" w:eastAsia="宋体"/>
          <w:lang w:val="en-US" w:eastAsia="zh-CN"/>
        </w:rPr>
      </w:pPr>
      <w:r>
        <w:t>Agenda Item:</w:t>
      </w:r>
      <w:r>
        <w:tab/>
      </w:r>
      <w:r>
        <w:t>11.</w:t>
      </w:r>
      <w:r>
        <w:rPr>
          <w:rFonts w:hint="eastAsia" w:eastAsia="宋体"/>
          <w:lang w:val="en-US" w:eastAsia="zh-CN"/>
        </w:rPr>
        <w:t>4</w:t>
      </w:r>
    </w:p>
    <w:p>
      <w:pPr>
        <w:pStyle w:val="89"/>
        <w:rPr>
          <w:rFonts w:hint="default" w:eastAsia="宋体"/>
          <w:lang w:val="en-US" w:eastAsia="zh-CN"/>
        </w:rPr>
      </w:pPr>
      <w:r>
        <w:t>Source:</w:t>
      </w:r>
      <w:r>
        <w:tab/>
      </w:r>
      <w:r>
        <w:t>ZTE</w:t>
      </w:r>
      <w:r>
        <w:rPr>
          <w:rFonts w:hint="eastAsia" w:eastAsia="宋体"/>
          <w:lang w:val="en-US" w:eastAsia="zh-CN"/>
        </w:rPr>
        <w:t>, China Telecom, China Unicom</w:t>
      </w:r>
    </w:p>
    <w:p>
      <w:pPr>
        <w:pStyle w:val="89"/>
        <w:ind w:left="1985" w:hanging="1985"/>
        <w:rPr>
          <w:lang w:eastAsia="ja-JP"/>
        </w:rPr>
      </w:pPr>
      <w:r>
        <w:t>Title:</w:t>
      </w:r>
      <w:r>
        <w:tab/>
      </w:r>
      <w:r>
        <w:t>Further discussion on other issues</w:t>
      </w:r>
    </w:p>
    <w:p>
      <w:pPr>
        <w:pStyle w:val="89"/>
        <w:rPr>
          <w:lang w:eastAsia="ja-JP"/>
        </w:rPr>
      </w:pPr>
      <w:r>
        <w:t>Document for:</w:t>
      </w:r>
      <w:r>
        <w:tab/>
      </w:r>
      <w:r>
        <w:t xml:space="preserve">Discussions &amp; </w:t>
      </w:r>
      <w:r>
        <w:rPr>
          <w:lang w:eastAsia="ja-JP"/>
        </w:rPr>
        <w:t>Approval</w:t>
      </w:r>
    </w:p>
    <w:p>
      <w:pPr>
        <w:pStyle w:val="2"/>
        <w:rPr>
          <w:rFonts w:cs="Arial"/>
        </w:rPr>
      </w:pPr>
      <w:r>
        <w:rPr>
          <w:rFonts w:cs="Arial"/>
        </w:rPr>
        <w:t>Introduction</w:t>
      </w:r>
    </w:p>
    <w:p>
      <w:pPr>
        <w:pStyle w:val="90"/>
      </w:pPr>
      <w:r>
        <w:t>This paper provides the discussion on the left issues of QoE Others.</w:t>
      </w:r>
    </w:p>
    <w:p>
      <w:pPr>
        <w:pStyle w:val="2"/>
      </w:pPr>
      <w:r>
        <w:t>Discussion</w:t>
      </w:r>
    </w:p>
    <w:p>
      <w:pPr>
        <w:pStyle w:val="3"/>
        <w:rPr>
          <w:rFonts w:eastAsiaTheme="minorEastAsia"/>
          <w:lang w:eastAsia="zh-CN"/>
        </w:rPr>
      </w:pPr>
      <w:r>
        <w:rPr>
          <w:rFonts w:eastAsiaTheme="minorEastAsia"/>
          <w:lang w:eastAsia="zh-CN"/>
        </w:rPr>
        <w:t>RVQoE deactivation over F1</w:t>
      </w:r>
    </w:p>
    <w:p>
      <w:pPr>
        <w:rPr>
          <w:rFonts w:eastAsiaTheme="minorEastAsia"/>
          <w:lang w:eastAsia="zh-CN"/>
        </w:rPr>
      </w:pPr>
      <w:r>
        <w:rPr>
          <w:rFonts w:hint="eastAsia" w:eastAsiaTheme="minorEastAsia"/>
          <w:lang w:eastAsia="zh-CN"/>
        </w:rPr>
        <w:t>I</w:t>
      </w:r>
      <w:r>
        <w:rPr>
          <w:rFonts w:eastAsiaTheme="minorEastAsia"/>
          <w:lang w:eastAsia="zh-CN"/>
        </w:rPr>
        <w:t>t was agreed at last meeting to use a non-UE associated class-2 procedure to deactivate RVQoE reporting over F1, and the corresponding TPs were agreed</w:t>
      </w:r>
      <w:r>
        <w:rPr>
          <w:rFonts w:hint="eastAsia" w:eastAsiaTheme="minorEastAsia"/>
          <w:lang w:eastAsia="zh-CN"/>
        </w:rPr>
        <w:t>,</w:t>
      </w:r>
      <w:r>
        <w:rPr>
          <w:rFonts w:eastAsiaTheme="minorEastAsia"/>
          <w:lang w:eastAsia="zh-CN"/>
        </w:rPr>
        <w:t xml:space="preserve"> with an optional UE-id list included in the message.</w:t>
      </w:r>
    </w:p>
    <w:p>
      <w:pPr>
        <w:rPr>
          <w:rFonts w:eastAsiaTheme="minorEastAsia"/>
          <w:lang w:eastAsia="zh-CN"/>
        </w:rPr>
      </w:pPr>
      <w:r>
        <w:rPr>
          <w:rFonts w:hint="eastAsia" w:eastAsiaTheme="minorEastAsia"/>
          <w:lang w:eastAsia="zh-CN"/>
        </w:rPr>
        <w:t>H</w:t>
      </w:r>
      <w:r>
        <w:rPr>
          <w:rFonts w:eastAsiaTheme="minorEastAsia"/>
          <w:lang w:eastAsia="zh-CN"/>
        </w:rPr>
        <w:t>owever, there is only some general description in stage2, without specifying the reactions of the CU, after receiving the deactivation message from the DU. In our mind, at least the two cases below should be clearly specified in 38.401:</w:t>
      </w:r>
    </w:p>
    <w:p>
      <w:pPr>
        <w:pStyle w:val="119"/>
        <w:numPr>
          <w:ilvl w:val="0"/>
          <w:numId w:val="3"/>
        </w:numPr>
        <w:ind w:firstLineChars="0"/>
        <w:rPr>
          <w:rFonts w:eastAsiaTheme="minorEastAsia"/>
          <w:lang w:eastAsia="zh-CN"/>
        </w:rPr>
      </w:pPr>
      <w:r>
        <w:rPr>
          <w:rFonts w:eastAsiaTheme="minorEastAsia"/>
          <w:lang w:eastAsia="zh-CN"/>
        </w:rPr>
        <w:t>Case 1: The gNB-DU sends the QoE Information Transfer Control message, with the deactivation list included.</w:t>
      </w:r>
    </w:p>
    <w:p>
      <w:pPr>
        <w:pStyle w:val="119"/>
        <w:numPr>
          <w:ilvl w:val="0"/>
          <w:numId w:val="3"/>
        </w:numPr>
        <w:ind w:firstLineChars="0"/>
        <w:rPr>
          <w:rFonts w:eastAsiaTheme="minorEastAsia"/>
          <w:lang w:eastAsia="zh-CN"/>
        </w:rPr>
      </w:pPr>
      <w:r>
        <w:rPr>
          <w:rFonts w:hint="eastAsia" w:eastAsiaTheme="minorEastAsia"/>
          <w:lang w:eastAsia="zh-CN"/>
        </w:rPr>
        <w:t>C</w:t>
      </w:r>
      <w:r>
        <w:rPr>
          <w:rFonts w:eastAsiaTheme="minorEastAsia"/>
          <w:lang w:eastAsia="zh-CN"/>
        </w:rPr>
        <w:t>ase 2: The gNB-DU sends the QoE Information Transfer Control message, without including the deactivation list.</w:t>
      </w:r>
    </w:p>
    <w:p>
      <w:pPr>
        <w:rPr>
          <w:rFonts w:eastAsiaTheme="minorEastAsia"/>
          <w:lang w:eastAsia="zh-CN"/>
        </w:rPr>
      </w:pPr>
      <w:r>
        <w:rPr>
          <w:rFonts w:hint="eastAsia" w:eastAsiaTheme="minorEastAsia"/>
          <w:lang w:eastAsia="zh-CN"/>
        </w:rPr>
        <w:t>F</w:t>
      </w:r>
      <w:r>
        <w:rPr>
          <w:rFonts w:eastAsiaTheme="minorEastAsia"/>
          <w:lang w:eastAsia="zh-CN"/>
        </w:rPr>
        <w:t xml:space="preserve">or case 1, after receiving the deactivation message, the gNB-CU could directly stop sending the RVQoE reports to the UE(s) indicated by the deactivation list. While, for case 2, if no deactivation list, we believe it could be taken as an implicit indication for the CU to deactivate the RVQoE reporting to the whole </w:t>
      </w:r>
      <w:r>
        <w:rPr>
          <w:rFonts w:hint="eastAsia" w:eastAsiaTheme="minorEastAsia"/>
          <w:lang w:eastAsia="zh-CN"/>
        </w:rPr>
        <w:t>gN</w:t>
      </w:r>
      <w:r>
        <w:rPr>
          <w:rFonts w:eastAsiaTheme="minorEastAsia"/>
          <w:lang w:eastAsia="zh-CN"/>
        </w:rPr>
        <w:t>B-DU. With the above understanding, we provided our TPs to F1AP and 38.401</w:t>
      </w:r>
      <w:r>
        <w:rPr>
          <w:rFonts w:hint="eastAsia" w:eastAsiaTheme="minorEastAsia"/>
          <w:lang w:val="en-US" w:eastAsia="zh-CN"/>
        </w:rPr>
        <w:t>[1]</w:t>
      </w:r>
      <w:r>
        <w:rPr>
          <w:rFonts w:eastAsiaTheme="minorEastAsia"/>
          <w:lang w:eastAsia="zh-CN"/>
        </w:rPr>
        <w:t>.</w:t>
      </w:r>
    </w:p>
    <w:p>
      <w:pPr>
        <w:rPr>
          <w:rFonts w:eastAsiaTheme="minorEastAsia"/>
          <w:b/>
          <w:lang w:eastAsia="zh-CN"/>
        </w:rPr>
      </w:pPr>
      <w:r>
        <w:rPr>
          <w:rFonts w:eastAsiaTheme="minorEastAsia"/>
          <w:b/>
          <w:lang w:eastAsia="zh-CN"/>
        </w:rPr>
        <w:t>Proposal 1: Clarify in stage 2 about the how the gNB-CU deactivate RVQoE reporting over F1, depended on different cases of control information from the gNB-DU.</w:t>
      </w:r>
    </w:p>
    <w:p>
      <w:pPr>
        <w:pStyle w:val="3"/>
        <w:rPr>
          <w:rFonts w:eastAsiaTheme="minorEastAsia"/>
          <w:lang w:eastAsia="zh-CN"/>
        </w:rPr>
      </w:pPr>
      <w:r>
        <w:rPr>
          <w:rFonts w:hint="eastAsia" w:eastAsiaTheme="minorEastAsia"/>
          <w:lang w:eastAsia="zh-CN"/>
        </w:rPr>
        <w:t>Inter</w:t>
      </w:r>
      <w:r>
        <w:rPr>
          <w:rFonts w:eastAsiaTheme="minorEastAsia"/>
          <w:lang w:eastAsia="zh-CN"/>
        </w:rPr>
        <w:t>-RAT mobility</w:t>
      </w:r>
    </w:p>
    <w:p>
      <w:pPr>
        <w:pStyle w:val="121"/>
        <w:spacing w:before="120" w:beforeAutospacing="0" w:after="0"/>
        <w:ind w:left="0"/>
        <w:jc w:val="both"/>
        <w:rPr>
          <w:rFonts w:ascii="Calibri" w:hAnsi="Calibri" w:cs="Calibri"/>
          <w:b/>
          <w:bCs/>
          <w:color w:val="0000FF"/>
          <w:kern w:val="2"/>
          <w:sz w:val="18"/>
          <w:szCs w:val="18"/>
        </w:rPr>
      </w:pPr>
      <w:r>
        <w:rPr>
          <w:rFonts w:ascii="Calibri" w:hAnsi="Calibri" w:cs="Calibri"/>
          <w:b/>
          <w:bCs/>
          <w:color w:val="0000FF"/>
          <w:kern w:val="2"/>
          <w:sz w:val="18"/>
          <w:szCs w:val="18"/>
        </w:rPr>
        <w:t>The stage3 impact needs to be further checked, e.g., clarify in the semantics description of UE Application Layer Measurement Information List IE in TS 38.423 that, in case of intra-system inter-RAT HO, there can be only one item in the list? clarify in the semantics description of Container for Application Layer Measurement Configuration IE in TS 38.423 that, for intra-system inter-RAT HO, the maximum size of the container is 1000 bytes?</w:t>
      </w:r>
    </w:p>
    <w:p>
      <w:pPr>
        <w:spacing w:before="120" w:beforeLines="50"/>
        <w:rPr>
          <w:rFonts w:eastAsiaTheme="minorEastAsia"/>
          <w:lang w:val="en-US" w:eastAsia="zh-CN"/>
        </w:rPr>
      </w:pPr>
      <w:r>
        <w:rPr>
          <w:rFonts w:hint="eastAsia" w:eastAsiaTheme="minorEastAsia"/>
          <w:lang w:val="en-US" w:eastAsia="zh-CN"/>
        </w:rPr>
        <w:t>T</w:t>
      </w:r>
      <w:r>
        <w:rPr>
          <w:rFonts w:eastAsiaTheme="minorEastAsia"/>
          <w:lang w:val="en-US" w:eastAsia="zh-CN"/>
        </w:rPr>
        <w:t>he proposal above about adding claridication on the number of item sin the configuration list makes some sense to us. For LTE QoE, only one QoE measurement session could be supported, so it is reasonable to regulate that, there can be only one item in the QMC configuration list, in case of intra-system inter-RAT HO.</w:t>
      </w:r>
    </w:p>
    <w:p>
      <w:pPr>
        <w:rPr>
          <w:rFonts w:hint="eastAsia" w:eastAsiaTheme="minorEastAsia"/>
          <w:lang w:val="en-US" w:eastAsia="zh-CN"/>
        </w:rPr>
      </w:pPr>
      <w:r>
        <w:rPr>
          <w:rFonts w:eastAsiaTheme="minorEastAsia"/>
          <w:lang w:val="en-US" w:eastAsia="zh-CN"/>
        </w:rPr>
        <w:t>Similarly, since the maximum size of QoE configuration container is LTE is 1000 bytes, it would be better to add corresponding semantic descriptions in NG specifications, for clarification in intra-system inter RAT HO. With this understanding, the gNB would not select the QMC configuration whose configuration container is larger than 1000 bytes to the target ng-eNB.</w:t>
      </w:r>
    </w:p>
    <w:p>
      <w:pPr>
        <w:rPr>
          <w:rFonts w:eastAsiaTheme="minorEastAsia"/>
          <w:b/>
          <w:lang w:val="en-US" w:eastAsia="zh-CN"/>
        </w:rPr>
      </w:pPr>
      <w:r>
        <w:rPr>
          <w:rFonts w:hint="eastAsia" w:eastAsiaTheme="minorEastAsia"/>
          <w:b/>
          <w:lang w:eastAsia="zh-CN"/>
        </w:rPr>
        <w:t>P</w:t>
      </w:r>
      <w:r>
        <w:rPr>
          <w:rFonts w:eastAsiaTheme="minorEastAsia"/>
          <w:b/>
          <w:lang w:eastAsia="zh-CN"/>
        </w:rPr>
        <w:t xml:space="preserve">roposal 2: Add semantic descriptions that there can only be one item in the QMC configuration list during </w:t>
      </w:r>
      <w:r>
        <w:rPr>
          <w:rFonts w:eastAsiaTheme="minorEastAsia"/>
          <w:b/>
          <w:lang w:val="en-US" w:eastAsia="zh-CN"/>
        </w:rPr>
        <w:t>intra-system inter-RAT HO.</w:t>
      </w:r>
    </w:p>
    <w:p>
      <w:pPr>
        <w:rPr>
          <w:rFonts w:hint="eastAsia" w:eastAsiaTheme="minorEastAsia"/>
          <w:b/>
          <w:lang w:val="en-US" w:eastAsia="zh-CN"/>
        </w:rPr>
      </w:pPr>
      <w:r>
        <w:rPr>
          <w:rFonts w:hint="eastAsia" w:eastAsiaTheme="minorEastAsia"/>
          <w:b/>
          <w:lang w:eastAsia="zh-CN"/>
        </w:rPr>
        <w:t>P</w:t>
      </w:r>
      <w:r>
        <w:rPr>
          <w:rFonts w:eastAsiaTheme="minorEastAsia"/>
          <w:b/>
          <w:lang w:eastAsia="zh-CN"/>
        </w:rPr>
        <w:t xml:space="preserve">roposal 3: Add semantic descriptions that the maximum size of QoE configuration container is 1000 bytes during </w:t>
      </w:r>
      <w:r>
        <w:rPr>
          <w:rFonts w:eastAsiaTheme="minorEastAsia"/>
          <w:b/>
          <w:lang w:val="en-US" w:eastAsia="zh-CN"/>
        </w:rPr>
        <w:t>intra-system inter-RAT HO.</w:t>
      </w:r>
    </w:p>
    <w:p>
      <w:pPr>
        <w:pStyle w:val="2"/>
      </w:pPr>
      <w:r>
        <w:t>Conclusions</w:t>
      </w:r>
    </w:p>
    <w:p>
      <w:pPr>
        <w:rPr>
          <w:rFonts w:eastAsiaTheme="minorEastAsia"/>
          <w:b/>
          <w:lang w:eastAsia="zh-CN"/>
        </w:rPr>
      </w:pPr>
      <w:r>
        <w:rPr>
          <w:rFonts w:eastAsiaTheme="minorEastAsia"/>
          <w:b/>
          <w:lang w:eastAsia="zh-CN"/>
        </w:rPr>
        <w:t>Proposal 1: Clarify in stage 2 about the how the gNB-CU deactivate RVQoE reporting over F1, depended on different cases of control information from the gNB-DU.</w:t>
      </w:r>
    </w:p>
    <w:p>
      <w:pPr>
        <w:rPr>
          <w:rFonts w:eastAsiaTheme="minorEastAsia"/>
          <w:b/>
          <w:lang w:val="en-US" w:eastAsia="zh-CN"/>
        </w:rPr>
      </w:pPr>
      <w:r>
        <w:rPr>
          <w:rFonts w:hint="eastAsia" w:eastAsiaTheme="minorEastAsia"/>
          <w:b/>
          <w:lang w:eastAsia="zh-CN"/>
        </w:rPr>
        <w:t>P</w:t>
      </w:r>
      <w:r>
        <w:rPr>
          <w:rFonts w:eastAsiaTheme="minorEastAsia"/>
          <w:b/>
          <w:lang w:eastAsia="zh-CN"/>
        </w:rPr>
        <w:t xml:space="preserve">roposal 2: Add semantic descriptions that there can only be one item in the QMC configuration list during </w:t>
      </w:r>
      <w:r>
        <w:rPr>
          <w:rFonts w:eastAsiaTheme="minorEastAsia"/>
          <w:b/>
          <w:lang w:val="en-US" w:eastAsia="zh-CN"/>
        </w:rPr>
        <w:t>intra-system inter-RAT HO.</w:t>
      </w:r>
    </w:p>
    <w:p>
      <w:pPr>
        <w:rPr>
          <w:rFonts w:hint="eastAsia" w:eastAsiaTheme="minorEastAsia"/>
          <w:b/>
          <w:lang w:val="en-US" w:eastAsia="zh-CN"/>
        </w:rPr>
      </w:pPr>
      <w:r>
        <w:rPr>
          <w:rFonts w:hint="eastAsia" w:eastAsiaTheme="minorEastAsia"/>
          <w:b/>
          <w:lang w:eastAsia="zh-CN"/>
        </w:rPr>
        <w:t>P</w:t>
      </w:r>
      <w:r>
        <w:rPr>
          <w:rFonts w:eastAsiaTheme="minorEastAsia"/>
          <w:b/>
          <w:lang w:eastAsia="zh-CN"/>
        </w:rPr>
        <w:t xml:space="preserve">roposal 3: Add semantic descriptions that the maximum size of QoE configuration container is 1000 bytes during </w:t>
      </w:r>
      <w:r>
        <w:rPr>
          <w:rFonts w:eastAsiaTheme="minorEastAsia"/>
          <w:b/>
          <w:lang w:val="en-US" w:eastAsia="zh-CN"/>
        </w:rPr>
        <w:t>intra-system inter-RAT HO.</w:t>
      </w:r>
    </w:p>
    <w:p>
      <w:pPr>
        <w:pStyle w:val="2"/>
      </w:pPr>
      <w:r>
        <w:t>References</w:t>
      </w:r>
    </w:p>
    <w:p>
      <w:pPr>
        <w:rPr>
          <w:rFonts w:hint="default" w:eastAsiaTheme="minorEastAsia"/>
          <w:b/>
          <w:lang w:val="en-US" w:eastAsia="zh-CN"/>
        </w:rPr>
      </w:pPr>
      <w:r>
        <w:rPr>
          <w:rFonts w:hint="eastAsia" w:eastAsiaTheme="minorEastAsia"/>
          <w:lang w:val="en-US" w:eastAsia="zh-CN"/>
        </w:rPr>
        <w:t>[1] R3-237659 (TPs for BL CR of TS38.401&amp;38.473) Deactivation of RVQoE reporting over F1AP</w:t>
      </w:r>
    </w:p>
    <w:p>
      <w:pPr>
        <w:rPr>
          <w:rFonts w:eastAsiaTheme="minorEastAsia"/>
          <w:lang w:eastAsia="zh-C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3FB"/>
    <w:multiLevelType w:val="multilevel"/>
    <w:tmpl w:val="052C13FB"/>
    <w:lvl w:ilvl="0" w:tentative="0">
      <w:start w:val="1"/>
      <w:numFmt w:val="decimal"/>
      <w:pStyle w:val="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536AAF"/>
    <w:multiLevelType w:val="multilevel"/>
    <w:tmpl w:val="26536AAF"/>
    <w:lvl w:ilvl="0" w:tentative="0">
      <w:start w:val="9"/>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E2E5DAE"/>
    <w:multiLevelType w:val="multilevel"/>
    <w:tmpl w:val="5E2E5DAE"/>
    <w:lvl w:ilvl="0" w:tentative="0">
      <w:start w:val="1"/>
      <w:numFmt w:val="decimal"/>
      <w:pStyle w:val="3"/>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8"/>
    <w:rsid w:val="00000DF0"/>
    <w:rsid w:val="00001E8F"/>
    <w:rsid w:val="00003891"/>
    <w:rsid w:val="000110EF"/>
    <w:rsid w:val="00012AB3"/>
    <w:rsid w:val="00014226"/>
    <w:rsid w:val="000156EE"/>
    <w:rsid w:val="00020D4D"/>
    <w:rsid w:val="00022E4A"/>
    <w:rsid w:val="00024C18"/>
    <w:rsid w:val="000426A4"/>
    <w:rsid w:val="00043458"/>
    <w:rsid w:val="000450C6"/>
    <w:rsid w:val="00046AD5"/>
    <w:rsid w:val="000472E8"/>
    <w:rsid w:val="000500F9"/>
    <w:rsid w:val="00051FFB"/>
    <w:rsid w:val="00054EB4"/>
    <w:rsid w:val="00055A4B"/>
    <w:rsid w:val="00061D0F"/>
    <w:rsid w:val="000628C0"/>
    <w:rsid w:val="00063F7E"/>
    <w:rsid w:val="000654ED"/>
    <w:rsid w:val="00067DCD"/>
    <w:rsid w:val="00080C14"/>
    <w:rsid w:val="000867EC"/>
    <w:rsid w:val="00092672"/>
    <w:rsid w:val="00094F0A"/>
    <w:rsid w:val="000A6394"/>
    <w:rsid w:val="000B00AB"/>
    <w:rsid w:val="000B179A"/>
    <w:rsid w:val="000C038A"/>
    <w:rsid w:val="000C6598"/>
    <w:rsid w:val="000D39A8"/>
    <w:rsid w:val="000D6382"/>
    <w:rsid w:val="000F025C"/>
    <w:rsid w:val="000F23FA"/>
    <w:rsid w:val="00112C4C"/>
    <w:rsid w:val="00120967"/>
    <w:rsid w:val="00125614"/>
    <w:rsid w:val="0013032A"/>
    <w:rsid w:val="00145D43"/>
    <w:rsid w:val="0015071C"/>
    <w:rsid w:val="00154368"/>
    <w:rsid w:val="001562B4"/>
    <w:rsid w:val="0016286B"/>
    <w:rsid w:val="00162D84"/>
    <w:rsid w:val="001670C1"/>
    <w:rsid w:val="001763A1"/>
    <w:rsid w:val="00184A22"/>
    <w:rsid w:val="001877F5"/>
    <w:rsid w:val="00191183"/>
    <w:rsid w:val="00192C46"/>
    <w:rsid w:val="00194C23"/>
    <w:rsid w:val="00195460"/>
    <w:rsid w:val="001A7B60"/>
    <w:rsid w:val="001B125D"/>
    <w:rsid w:val="001B6CDC"/>
    <w:rsid w:val="001B7A65"/>
    <w:rsid w:val="001D2CB8"/>
    <w:rsid w:val="001E41F3"/>
    <w:rsid w:val="001E48D4"/>
    <w:rsid w:val="001E5180"/>
    <w:rsid w:val="001F3AC0"/>
    <w:rsid w:val="002218D6"/>
    <w:rsid w:val="0023798B"/>
    <w:rsid w:val="00244019"/>
    <w:rsid w:val="00244D1F"/>
    <w:rsid w:val="002508E8"/>
    <w:rsid w:val="00255FD3"/>
    <w:rsid w:val="0026004D"/>
    <w:rsid w:val="0026090A"/>
    <w:rsid w:val="00262C39"/>
    <w:rsid w:val="002636A7"/>
    <w:rsid w:val="00274611"/>
    <w:rsid w:val="0027588B"/>
    <w:rsid w:val="00275D12"/>
    <w:rsid w:val="002769EB"/>
    <w:rsid w:val="002860C4"/>
    <w:rsid w:val="002861AA"/>
    <w:rsid w:val="0028639A"/>
    <w:rsid w:val="00294368"/>
    <w:rsid w:val="002A37C8"/>
    <w:rsid w:val="002A47EF"/>
    <w:rsid w:val="002B0C6C"/>
    <w:rsid w:val="002B23F9"/>
    <w:rsid w:val="002B24C6"/>
    <w:rsid w:val="002B5741"/>
    <w:rsid w:val="002B5B7A"/>
    <w:rsid w:val="002C04E3"/>
    <w:rsid w:val="002C238A"/>
    <w:rsid w:val="002E1EB4"/>
    <w:rsid w:val="002E595A"/>
    <w:rsid w:val="00305409"/>
    <w:rsid w:val="003109C6"/>
    <w:rsid w:val="00331F42"/>
    <w:rsid w:val="00332A03"/>
    <w:rsid w:val="0034768F"/>
    <w:rsid w:val="003476BF"/>
    <w:rsid w:val="0035319E"/>
    <w:rsid w:val="00353346"/>
    <w:rsid w:val="003602EE"/>
    <w:rsid w:val="00376EE0"/>
    <w:rsid w:val="00386C9B"/>
    <w:rsid w:val="00392B19"/>
    <w:rsid w:val="003933A4"/>
    <w:rsid w:val="00396631"/>
    <w:rsid w:val="003A4E1D"/>
    <w:rsid w:val="003A5266"/>
    <w:rsid w:val="003B568A"/>
    <w:rsid w:val="003B597F"/>
    <w:rsid w:val="003B7609"/>
    <w:rsid w:val="003C12C0"/>
    <w:rsid w:val="003C3FD3"/>
    <w:rsid w:val="003D15E8"/>
    <w:rsid w:val="003D4896"/>
    <w:rsid w:val="003E1A36"/>
    <w:rsid w:val="003F0C51"/>
    <w:rsid w:val="003F1014"/>
    <w:rsid w:val="003F54CE"/>
    <w:rsid w:val="0040623E"/>
    <w:rsid w:val="004165D0"/>
    <w:rsid w:val="004209FB"/>
    <w:rsid w:val="004242F1"/>
    <w:rsid w:val="00425186"/>
    <w:rsid w:val="00447131"/>
    <w:rsid w:val="004553B4"/>
    <w:rsid w:val="00467657"/>
    <w:rsid w:val="0047662E"/>
    <w:rsid w:val="00477480"/>
    <w:rsid w:val="00477891"/>
    <w:rsid w:val="004839DB"/>
    <w:rsid w:val="00484335"/>
    <w:rsid w:val="004865D4"/>
    <w:rsid w:val="004A06EC"/>
    <w:rsid w:val="004A1950"/>
    <w:rsid w:val="004A20E3"/>
    <w:rsid w:val="004B316F"/>
    <w:rsid w:val="004B75B7"/>
    <w:rsid w:val="004C2BFF"/>
    <w:rsid w:val="004C42A2"/>
    <w:rsid w:val="004C707F"/>
    <w:rsid w:val="004D2ACB"/>
    <w:rsid w:val="004D4DA0"/>
    <w:rsid w:val="004F242B"/>
    <w:rsid w:val="00500346"/>
    <w:rsid w:val="00501900"/>
    <w:rsid w:val="005124D6"/>
    <w:rsid w:val="0051580D"/>
    <w:rsid w:val="00517451"/>
    <w:rsid w:val="00520062"/>
    <w:rsid w:val="005272A5"/>
    <w:rsid w:val="00540E46"/>
    <w:rsid w:val="00541328"/>
    <w:rsid w:val="0055630A"/>
    <w:rsid w:val="00564BDC"/>
    <w:rsid w:val="0056756A"/>
    <w:rsid w:val="0057470F"/>
    <w:rsid w:val="00581EC7"/>
    <w:rsid w:val="00587287"/>
    <w:rsid w:val="00592D74"/>
    <w:rsid w:val="00592FB9"/>
    <w:rsid w:val="005A0C8C"/>
    <w:rsid w:val="005C4D70"/>
    <w:rsid w:val="005D3BFF"/>
    <w:rsid w:val="005D6988"/>
    <w:rsid w:val="005E116A"/>
    <w:rsid w:val="005E2C44"/>
    <w:rsid w:val="005E3D2A"/>
    <w:rsid w:val="005E4D8A"/>
    <w:rsid w:val="005F2108"/>
    <w:rsid w:val="005F436C"/>
    <w:rsid w:val="005F5A16"/>
    <w:rsid w:val="0060567A"/>
    <w:rsid w:val="006113A8"/>
    <w:rsid w:val="00612DA5"/>
    <w:rsid w:val="00615A28"/>
    <w:rsid w:val="00621188"/>
    <w:rsid w:val="00625052"/>
    <w:rsid w:val="006257ED"/>
    <w:rsid w:val="0062763C"/>
    <w:rsid w:val="0063023A"/>
    <w:rsid w:val="006310E9"/>
    <w:rsid w:val="0063417A"/>
    <w:rsid w:val="006370F5"/>
    <w:rsid w:val="00637957"/>
    <w:rsid w:val="00642975"/>
    <w:rsid w:val="00644962"/>
    <w:rsid w:val="00646C7D"/>
    <w:rsid w:val="006760A7"/>
    <w:rsid w:val="006804C7"/>
    <w:rsid w:val="006839A1"/>
    <w:rsid w:val="00683E54"/>
    <w:rsid w:val="006848B8"/>
    <w:rsid w:val="006940E4"/>
    <w:rsid w:val="00695808"/>
    <w:rsid w:val="006A5614"/>
    <w:rsid w:val="006B46FB"/>
    <w:rsid w:val="006B7D1C"/>
    <w:rsid w:val="006D56BC"/>
    <w:rsid w:val="006E055D"/>
    <w:rsid w:val="006E21FB"/>
    <w:rsid w:val="006E74F4"/>
    <w:rsid w:val="006F2706"/>
    <w:rsid w:val="0071052A"/>
    <w:rsid w:val="00711130"/>
    <w:rsid w:val="0071208A"/>
    <w:rsid w:val="007342B2"/>
    <w:rsid w:val="00741290"/>
    <w:rsid w:val="0074239E"/>
    <w:rsid w:val="00742578"/>
    <w:rsid w:val="00753D62"/>
    <w:rsid w:val="00754F5E"/>
    <w:rsid w:val="00757D89"/>
    <w:rsid w:val="0076243E"/>
    <w:rsid w:val="00765952"/>
    <w:rsid w:val="00772684"/>
    <w:rsid w:val="00773339"/>
    <w:rsid w:val="00775CD6"/>
    <w:rsid w:val="007767A3"/>
    <w:rsid w:val="00781DA4"/>
    <w:rsid w:val="00791D51"/>
    <w:rsid w:val="00792342"/>
    <w:rsid w:val="00794412"/>
    <w:rsid w:val="00795237"/>
    <w:rsid w:val="007A0E02"/>
    <w:rsid w:val="007A34F3"/>
    <w:rsid w:val="007A6F2E"/>
    <w:rsid w:val="007B512A"/>
    <w:rsid w:val="007B572B"/>
    <w:rsid w:val="007C0FB4"/>
    <w:rsid w:val="007C2097"/>
    <w:rsid w:val="007C2145"/>
    <w:rsid w:val="007C6BE8"/>
    <w:rsid w:val="007C759C"/>
    <w:rsid w:val="007D6835"/>
    <w:rsid w:val="007D6A07"/>
    <w:rsid w:val="007D716E"/>
    <w:rsid w:val="007E1C2B"/>
    <w:rsid w:val="007E2800"/>
    <w:rsid w:val="007E4113"/>
    <w:rsid w:val="007E5FC8"/>
    <w:rsid w:val="007F02F6"/>
    <w:rsid w:val="007F5205"/>
    <w:rsid w:val="008030BF"/>
    <w:rsid w:val="00804F45"/>
    <w:rsid w:val="00805D95"/>
    <w:rsid w:val="008125AF"/>
    <w:rsid w:val="00814952"/>
    <w:rsid w:val="008227DB"/>
    <w:rsid w:val="008279FA"/>
    <w:rsid w:val="00841CEC"/>
    <w:rsid w:val="00845D17"/>
    <w:rsid w:val="008579E4"/>
    <w:rsid w:val="008626E7"/>
    <w:rsid w:val="00870EE7"/>
    <w:rsid w:val="008B1F20"/>
    <w:rsid w:val="008B492F"/>
    <w:rsid w:val="008C0F6E"/>
    <w:rsid w:val="008C4751"/>
    <w:rsid w:val="008C52C4"/>
    <w:rsid w:val="008E2AD5"/>
    <w:rsid w:val="008E3925"/>
    <w:rsid w:val="008F686C"/>
    <w:rsid w:val="009017EE"/>
    <w:rsid w:val="00913222"/>
    <w:rsid w:val="00914EB4"/>
    <w:rsid w:val="00916443"/>
    <w:rsid w:val="00917C9F"/>
    <w:rsid w:val="0092036F"/>
    <w:rsid w:val="009306E1"/>
    <w:rsid w:val="00936638"/>
    <w:rsid w:val="00952CE3"/>
    <w:rsid w:val="00955FBC"/>
    <w:rsid w:val="00962553"/>
    <w:rsid w:val="00972525"/>
    <w:rsid w:val="009777D9"/>
    <w:rsid w:val="009824D9"/>
    <w:rsid w:val="009825BF"/>
    <w:rsid w:val="00991B88"/>
    <w:rsid w:val="00995252"/>
    <w:rsid w:val="00996397"/>
    <w:rsid w:val="009A1081"/>
    <w:rsid w:val="009A579D"/>
    <w:rsid w:val="009B5916"/>
    <w:rsid w:val="009C0A3B"/>
    <w:rsid w:val="009C41C1"/>
    <w:rsid w:val="009C629B"/>
    <w:rsid w:val="009C70A4"/>
    <w:rsid w:val="009E0762"/>
    <w:rsid w:val="009E3297"/>
    <w:rsid w:val="009F251D"/>
    <w:rsid w:val="009F734F"/>
    <w:rsid w:val="00A01D9B"/>
    <w:rsid w:val="00A04081"/>
    <w:rsid w:val="00A061EC"/>
    <w:rsid w:val="00A07158"/>
    <w:rsid w:val="00A20AB3"/>
    <w:rsid w:val="00A21256"/>
    <w:rsid w:val="00A246B6"/>
    <w:rsid w:val="00A3732B"/>
    <w:rsid w:val="00A47E70"/>
    <w:rsid w:val="00A53AEF"/>
    <w:rsid w:val="00A718D9"/>
    <w:rsid w:val="00A7658F"/>
    <w:rsid w:val="00A7671C"/>
    <w:rsid w:val="00A92CFF"/>
    <w:rsid w:val="00A93EFD"/>
    <w:rsid w:val="00AA600A"/>
    <w:rsid w:val="00AA601F"/>
    <w:rsid w:val="00AB00C3"/>
    <w:rsid w:val="00AB1244"/>
    <w:rsid w:val="00AC4A3D"/>
    <w:rsid w:val="00AD1CD8"/>
    <w:rsid w:val="00AE1C31"/>
    <w:rsid w:val="00AE5A38"/>
    <w:rsid w:val="00AE6E2C"/>
    <w:rsid w:val="00AF43A8"/>
    <w:rsid w:val="00AF68F0"/>
    <w:rsid w:val="00B0502B"/>
    <w:rsid w:val="00B11DA5"/>
    <w:rsid w:val="00B17FAB"/>
    <w:rsid w:val="00B24807"/>
    <w:rsid w:val="00B258BB"/>
    <w:rsid w:val="00B40E57"/>
    <w:rsid w:val="00B437CA"/>
    <w:rsid w:val="00B50379"/>
    <w:rsid w:val="00B51EAF"/>
    <w:rsid w:val="00B560B5"/>
    <w:rsid w:val="00B67B97"/>
    <w:rsid w:val="00B70803"/>
    <w:rsid w:val="00B70BDD"/>
    <w:rsid w:val="00B72060"/>
    <w:rsid w:val="00B76C75"/>
    <w:rsid w:val="00B873D7"/>
    <w:rsid w:val="00B968C8"/>
    <w:rsid w:val="00BA30F7"/>
    <w:rsid w:val="00BA3EC5"/>
    <w:rsid w:val="00BB5DFC"/>
    <w:rsid w:val="00BD279D"/>
    <w:rsid w:val="00BD6BB8"/>
    <w:rsid w:val="00BE3B42"/>
    <w:rsid w:val="00BE7739"/>
    <w:rsid w:val="00C04A36"/>
    <w:rsid w:val="00C12DBC"/>
    <w:rsid w:val="00C164B2"/>
    <w:rsid w:val="00C23592"/>
    <w:rsid w:val="00C31B69"/>
    <w:rsid w:val="00C420BD"/>
    <w:rsid w:val="00C42DFC"/>
    <w:rsid w:val="00C51D07"/>
    <w:rsid w:val="00C5481B"/>
    <w:rsid w:val="00C55CC9"/>
    <w:rsid w:val="00C573F0"/>
    <w:rsid w:val="00C57467"/>
    <w:rsid w:val="00C74921"/>
    <w:rsid w:val="00C74ED2"/>
    <w:rsid w:val="00C775DE"/>
    <w:rsid w:val="00C95985"/>
    <w:rsid w:val="00C95B80"/>
    <w:rsid w:val="00CA6304"/>
    <w:rsid w:val="00CB3E46"/>
    <w:rsid w:val="00CB44AB"/>
    <w:rsid w:val="00CB512D"/>
    <w:rsid w:val="00CC5026"/>
    <w:rsid w:val="00CC644F"/>
    <w:rsid w:val="00CD45A9"/>
    <w:rsid w:val="00CD4DFA"/>
    <w:rsid w:val="00CE4803"/>
    <w:rsid w:val="00CE4C57"/>
    <w:rsid w:val="00CE5C0E"/>
    <w:rsid w:val="00D03F9A"/>
    <w:rsid w:val="00D069FD"/>
    <w:rsid w:val="00D104E0"/>
    <w:rsid w:val="00D157AF"/>
    <w:rsid w:val="00D202FA"/>
    <w:rsid w:val="00D253DC"/>
    <w:rsid w:val="00D35F6F"/>
    <w:rsid w:val="00D608C3"/>
    <w:rsid w:val="00D63018"/>
    <w:rsid w:val="00D641B9"/>
    <w:rsid w:val="00D64A8C"/>
    <w:rsid w:val="00D95B9C"/>
    <w:rsid w:val="00D96016"/>
    <w:rsid w:val="00DA4F0B"/>
    <w:rsid w:val="00DB66FE"/>
    <w:rsid w:val="00DC1820"/>
    <w:rsid w:val="00DD25C0"/>
    <w:rsid w:val="00DD5724"/>
    <w:rsid w:val="00DE34CF"/>
    <w:rsid w:val="00DE6E1D"/>
    <w:rsid w:val="00E02866"/>
    <w:rsid w:val="00E02F57"/>
    <w:rsid w:val="00E033DE"/>
    <w:rsid w:val="00E06E56"/>
    <w:rsid w:val="00E1126B"/>
    <w:rsid w:val="00E1590F"/>
    <w:rsid w:val="00E15BA1"/>
    <w:rsid w:val="00E17EE0"/>
    <w:rsid w:val="00E24EB3"/>
    <w:rsid w:val="00E27E18"/>
    <w:rsid w:val="00E511DD"/>
    <w:rsid w:val="00E633CC"/>
    <w:rsid w:val="00E64117"/>
    <w:rsid w:val="00E73F28"/>
    <w:rsid w:val="00E82810"/>
    <w:rsid w:val="00E920D0"/>
    <w:rsid w:val="00E92B6F"/>
    <w:rsid w:val="00E9743C"/>
    <w:rsid w:val="00EA32CF"/>
    <w:rsid w:val="00EB2397"/>
    <w:rsid w:val="00EB2AC2"/>
    <w:rsid w:val="00EB3F46"/>
    <w:rsid w:val="00EC2D92"/>
    <w:rsid w:val="00EC6854"/>
    <w:rsid w:val="00EE0733"/>
    <w:rsid w:val="00EE1213"/>
    <w:rsid w:val="00EE5C79"/>
    <w:rsid w:val="00EE7D7C"/>
    <w:rsid w:val="00EF13E9"/>
    <w:rsid w:val="00EF376B"/>
    <w:rsid w:val="00EF3A19"/>
    <w:rsid w:val="00EF5C8C"/>
    <w:rsid w:val="00F03AED"/>
    <w:rsid w:val="00F03C76"/>
    <w:rsid w:val="00F10B0F"/>
    <w:rsid w:val="00F11694"/>
    <w:rsid w:val="00F2517E"/>
    <w:rsid w:val="00F25D98"/>
    <w:rsid w:val="00F300FB"/>
    <w:rsid w:val="00F3190B"/>
    <w:rsid w:val="00F33471"/>
    <w:rsid w:val="00F42083"/>
    <w:rsid w:val="00F42785"/>
    <w:rsid w:val="00F456B6"/>
    <w:rsid w:val="00F55946"/>
    <w:rsid w:val="00F61596"/>
    <w:rsid w:val="00F75006"/>
    <w:rsid w:val="00F77D84"/>
    <w:rsid w:val="00F80F0E"/>
    <w:rsid w:val="00F9031B"/>
    <w:rsid w:val="00F92B61"/>
    <w:rsid w:val="00FA55A0"/>
    <w:rsid w:val="00FB6386"/>
    <w:rsid w:val="00FB7DE3"/>
    <w:rsid w:val="00FC4096"/>
    <w:rsid w:val="00FE006E"/>
    <w:rsid w:val="00FE57B3"/>
    <w:rsid w:val="00FF4F6A"/>
    <w:rsid w:val="02B6410D"/>
    <w:rsid w:val="11CB4D21"/>
    <w:rsid w:val="167A1405"/>
    <w:rsid w:val="16CE0C48"/>
    <w:rsid w:val="31137964"/>
    <w:rsid w:val="328B160F"/>
    <w:rsid w:val="42362591"/>
    <w:rsid w:val="4A0014C6"/>
    <w:rsid w:val="52A36E35"/>
    <w:rsid w:val="54E94BDC"/>
    <w:rsid w:val="73295C7E"/>
    <w:rsid w:val="7B4A58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Arial" w:hAnsi="Arial" w:eastAsia="Arial"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numId w:val="2"/>
      </w:num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styleId="119">
    <w:name w:val="List Paragraph"/>
    <w:basedOn w:val="1"/>
    <w:qFormat/>
    <w:uiPriority w:val="99"/>
    <w:pPr>
      <w:ind w:firstLine="420" w:firstLineChars="200"/>
    </w:pPr>
  </w:style>
  <w:style w:type="character" w:customStyle="1" w:styleId="120">
    <w:name w:val="15"/>
    <w:basedOn w:val="45"/>
    <w:qFormat/>
    <w:uiPriority w:val="0"/>
    <w:rPr>
      <w:rFonts w:hint="default" w:ascii="CG Times (WN)" w:hAnsi="CG Times (WN)"/>
      <w:color w:val="0000FF"/>
      <w:u w:val="single"/>
    </w:rPr>
  </w:style>
  <w:style w:type="paragraph" w:customStyle="1" w:styleId="121">
    <w:name w:val="List Paragraph1"/>
    <w:basedOn w:val="1"/>
    <w:qFormat/>
    <w:uiPriority w:val="0"/>
    <w:pPr>
      <w:spacing w:before="100" w:beforeAutospacing="1"/>
      <w:ind w:left="720"/>
      <w:contextualSpacing/>
    </w:pPr>
    <w:rPr>
      <w:rFonts w:ascii="Times New Roman" w:hAnsi="Times New Roman"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508</Words>
  <Characters>2902</Characters>
  <Lines>24</Lines>
  <Paragraphs>6</Paragraphs>
  <TotalTime>0</TotalTime>
  <ScaleCrop>false</ScaleCrop>
  <LinksUpToDate>false</LinksUpToDate>
  <CharactersWithSpaces>3404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2023-11-01T02:40:00Z</dcterms:created>
  <dc:creator>Michael Sanders, John M Meredith</dc:creator>
  <cp:lastModifiedBy>ZTE</cp:lastModifiedBy>
  <cp:lastPrinted>2411-12-31T15:59:00Z</cp:lastPrinted>
  <dcterms:modified xsi:type="dcterms:W3CDTF">2023-11-03T05:09:45Z</dcterms:modified>
  <dc:title>Template for Text Proposal - RAN3 Meeting no XXX</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